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5040" w:leader="none"/>
        </w:tabs>
        <w:spacing w:lineRule="exact" w:line="200"/>
        <w:ind w:left="-142" w:hanging="0"/>
        <w:rPr>
          <w:rFonts w:ascii="Verdana" w:hAnsi="Verdana"/>
          <w:color w:val="000000"/>
          <w:sz w:val="14"/>
          <w:szCs w:val="14"/>
          <w:lang w:val="en-US"/>
        </w:rPr>
      </w:pPr>
      <w:r>
        <w:rPr>
          <w:rFonts w:ascii="Verdana" w:hAnsi="Verdana"/>
          <w:color w:val="000000"/>
          <w:sz w:val="14"/>
          <w:szCs w:val="14"/>
          <w:lang w:val="en-US"/>
        </w:rPr>
        <mc:AlternateContent>
          <mc:Choice Requires="wps">
            <w:drawing>
              <wp:anchor behindDoc="0" distT="6985" distB="12065" distL="5715" distR="13335" simplePos="0" locked="0" layoutInCell="0" allowOverlap="1" relativeHeight="3">
                <wp:simplePos x="0" y="0"/>
                <wp:positionH relativeFrom="column">
                  <wp:posOffset>2449195</wp:posOffset>
                </wp:positionH>
                <wp:positionV relativeFrom="paragraph">
                  <wp:posOffset>-29210</wp:posOffset>
                </wp:positionV>
                <wp:extent cx="3886200" cy="914400"/>
                <wp:effectExtent l="5080" t="5080" r="5080" b="5080"/>
                <wp:wrapNone/>
                <wp:docPr id="1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6"/>
                              <w:jc w:val="right"/>
                              <w:rPr>
                                <w:color w:val="4CAE3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4CAE30"/>
                                <w:sz w:val="14"/>
                                <w:szCs w:val="14"/>
                              </w:rPr>
                              <w:t>Публичное акционерное общество коммерческий банк «Центр-инвест»</w:t>
                            </w:r>
                          </w:p>
                          <w:p>
                            <w:pPr>
                              <w:pStyle w:val="Style26"/>
                              <w:jc w:val="right"/>
                              <w:rPr>
                                <w:color w:val="4CAE3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4CAE30"/>
                                <w:sz w:val="14"/>
                                <w:szCs w:val="14"/>
                              </w:rPr>
                              <w:t xml:space="preserve">К/с 30101810100000000762 в Отделении по Ростовской области </w:t>
                            </w:r>
                          </w:p>
                          <w:p>
                            <w:pPr>
                              <w:pStyle w:val="Style26"/>
                              <w:jc w:val="right"/>
                              <w:rPr>
                                <w:color w:val="4CAE3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4CAE30"/>
                                <w:sz w:val="14"/>
                                <w:szCs w:val="14"/>
                              </w:rPr>
                              <w:t>Южного ГУ Банка России, БИК 046015762, ИНН 6163011391</w:t>
                            </w:r>
                          </w:p>
                          <w:p>
                            <w:pPr>
                              <w:pStyle w:val="Style26"/>
                              <w:jc w:val="right"/>
                              <w:rPr>
                                <w:color w:val="4CAE3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4CAE3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color w:val="4CAE30"/>
                                <w:sz w:val="14"/>
                                <w:szCs w:val="14"/>
                              </w:rPr>
                              <w:t>КПП 616301001, ОГРН 1026100001949</w:t>
                            </w:r>
                          </w:p>
                          <w:p>
                            <w:pPr>
                              <w:pStyle w:val="Style26"/>
                              <w:jc w:val="right"/>
                              <w:rPr>
                                <w:color w:val="4CAE3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4CAE30"/>
                                <w:sz w:val="14"/>
                                <w:szCs w:val="14"/>
                              </w:rPr>
                              <w:t>проспект Соколова, 62, г. Ростов-на-Дону, Россия, 344000</w:t>
                            </w:r>
                          </w:p>
                          <w:p>
                            <w:pPr>
                              <w:pStyle w:val="Style26"/>
                              <w:jc w:val="right"/>
                              <w:rPr>
                                <w:color w:val="4CAE3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CAE30"/>
                                <w:sz w:val="14"/>
                                <w:szCs w:val="14"/>
                              </w:rPr>
                              <w:t>тел./факс: (863) 2-000-000, www.centrinvest.ru, welcome@centrinvest.ru</w:t>
                            </w:r>
                          </w:p>
                          <w:p>
                            <w:pPr>
                              <w:pStyle w:val="Style26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" path="m0,0l-2147483645,0l-2147483645,-2147483646l0,-2147483646xe" fillcolor="white" stroked="t" o:allowincell="f" style="position:absolute;margin-left:192.85pt;margin-top:-2.3pt;width:305.95pt;height:71.95pt;mso-wrap-style:square;v-text-anchor:top">
                <v:fill o:detectmouseclick="t" type="solid" color2="black" opacity="0"/>
                <v:stroke color="white" weight="9360" joinstyle="miter" endcap="flat"/>
                <v:textbox>
                  <w:txbxContent>
                    <w:p>
                      <w:pPr>
                        <w:pStyle w:val="Style26"/>
                        <w:jc w:val="right"/>
                        <w:rPr>
                          <w:color w:val="4CAE30"/>
                          <w:sz w:val="14"/>
                          <w:szCs w:val="14"/>
                        </w:rPr>
                      </w:pPr>
                      <w:r>
                        <w:rPr>
                          <w:color w:val="4CAE30"/>
                          <w:sz w:val="14"/>
                          <w:szCs w:val="14"/>
                        </w:rPr>
                        <w:t>Публичное акционерное общество коммерческий банк «Центр-инвест»</w:t>
                      </w:r>
                    </w:p>
                    <w:p>
                      <w:pPr>
                        <w:pStyle w:val="Style26"/>
                        <w:jc w:val="right"/>
                        <w:rPr>
                          <w:color w:val="4CAE30"/>
                          <w:sz w:val="14"/>
                          <w:szCs w:val="14"/>
                        </w:rPr>
                      </w:pPr>
                      <w:r>
                        <w:rPr>
                          <w:color w:val="4CAE30"/>
                          <w:sz w:val="14"/>
                          <w:szCs w:val="14"/>
                        </w:rPr>
                        <w:t xml:space="preserve">К/с 30101810100000000762 в Отделении по Ростовской области </w:t>
                      </w:r>
                    </w:p>
                    <w:p>
                      <w:pPr>
                        <w:pStyle w:val="Style26"/>
                        <w:jc w:val="right"/>
                        <w:rPr>
                          <w:color w:val="4CAE30"/>
                          <w:sz w:val="14"/>
                          <w:szCs w:val="14"/>
                        </w:rPr>
                      </w:pPr>
                      <w:r>
                        <w:rPr>
                          <w:color w:val="4CAE30"/>
                          <w:sz w:val="14"/>
                          <w:szCs w:val="14"/>
                        </w:rPr>
                        <w:t>Южного ГУ Банка России, БИК 046015762, ИНН 6163011391</w:t>
                      </w:r>
                    </w:p>
                    <w:p>
                      <w:pPr>
                        <w:pStyle w:val="Style26"/>
                        <w:jc w:val="right"/>
                        <w:rPr>
                          <w:color w:val="4CAE30"/>
                          <w:sz w:val="14"/>
                          <w:szCs w:val="14"/>
                        </w:rPr>
                      </w:pPr>
                      <w:r>
                        <w:rPr>
                          <w:color w:val="4CAE3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color w:val="4CAE30"/>
                          <w:sz w:val="14"/>
                          <w:szCs w:val="14"/>
                        </w:rPr>
                        <w:t>КПП 616301001, ОГРН 1026100001949</w:t>
                      </w:r>
                    </w:p>
                    <w:p>
                      <w:pPr>
                        <w:pStyle w:val="Style26"/>
                        <w:jc w:val="right"/>
                        <w:rPr>
                          <w:color w:val="4CAE30"/>
                          <w:sz w:val="14"/>
                          <w:szCs w:val="14"/>
                        </w:rPr>
                      </w:pPr>
                      <w:r>
                        <w:rPr>
                          <w:color w:val="4CAE30"/>
                          <w:sz w:val="14"/>
                          <w:szCs w:val="14"/>
                        </w:rPr>
                        <w:t>проспект Соколова, 62, г. Ростов-на-Дону, Россия, 344000</w:t>
                      </w:r>
                    </w:p>
                    <w:p>
                      <w:pPr>
                        <w:pStyle w:val="Style26"/>
                        <w:jc w:val="right"/>
                        <w:rPr>
                          <w:color w:val="4CAE30"/>
                          <w:sz w:val="12"/>
                          <w:szCs w:val="12"/>
                        </w:rPr>
                      </w:pPr>
                      <w:r>
                        <w:rPr>
                          <w:color w:val="4CAE30"/>
                          <w:sz w:val="14"/>
                          <w:szCs w:val="14"/>
                        </w:rPr>
                        <w:t>тел./факс: (863) 2-000-000, www.centrinvest.ru, welcome@centrinvest.ru</w:t>
                      </w:r>
                    </w:p>
                    <w:p>
                      <w:pPr>
                        <w:pStyle w:val="Style26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ind w:left="-142" w:hanging="0"/>
        <w:rPr>
          <w:vertAlign w:val="subscript"/>
        </w:rPr>
      </w:pPr>
      <w:r>
        <mc:AlternateContent>
          <mc:Choice Requires="wps">
            <w:drawing>
              <wp:anchor behindDoc="0" distT="10795" distB="8890" distL="13970" distR="12065" simplePos="0" locked="0" layoutInCell="0" allowOverlap="1" relativeHeight="5">
                <wp:simplePos x="0" y="0"/>
                <wp:positionH relativeFrom="column">
                  <wp:posOffset>-114300</wp:posOffset>
                </wp:positionH>
                <wp:positionV relativeFrom="paragraph">
                  <wp:posOffset>76200</wp:posOffset>
                </wp:positionV>
                <wp:extent cx="250190" cy="236855"/>
                <wp:effectExtent l="5080" t="5715" r="5080" b="4445"/>
                <wp:wrapNone/>
                <wp:docPr id="3" name="Text Box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200" cy="236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6"/>
                              <w:rPr>
                                <w:lang w:val="en-US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tIns="91440" bIns="9144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4" path="m0,0l-2147483645,0l-2147483645,-2147483646l0,-2147483646xe" fillcolor="white" stroked="t" o:allowincell="f" style="position:absolute;margin-left:-9pt;margin-top:6pt;width:19.65pt;height:18.6pt;mso-wrap-style:none;v-text-anchor:middle">
                <v:fill o:detectmouseclick="t" type="solid" color2="black" opacity="0"/>
                <v:stroke color="white" weight="9360" joinstyle="miter" endcap="flat"/>
                <v:textbox>
                  <w:txbxContent>
                    <w:p>
                      <w:pPr>
                        <w:pStyle w:val="Style26"/>
                        <w:rPr>
                          <w:lang w:val="en-US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vertAlign w:val="subscript"/>
        </w:rPr>
        <w:t xml:space="preserve">      </w:t>
      </w:r>
      <w:r>
        <w:rPr>
          <w:vertAlign w:val="subscript"/>
        </w:rPr>
        <w:softHyphen/>
        <w:softHyphen/>
        <w:softHyphen/>
      </w:r>
      <w:r>
        <w:rPr/>
        <w:drawing>
          <wp:inline distT="0" distB="0" distL="0" distR="0">
            <wp:extent cx="2190115" cy="457200"/>
            <wp:effectExtent l="0" t="0" r="0" b="0"/>
            <wp:docPr id="5" name="Рисунок 3" descr="logo-color-r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3" descr="logo-color-rus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11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ind w:left="-142" w:hanging="0"/>
        <w:rPr/>
      </w:pPr>
      <w:r>
        <w:rPr/>
      </w:r>
    </w:p>
    <w:p>
      <w:pPr>
        <w:pStyle w:val="Normal"/>
        <w:ind w:left="-142" w:hanging="0"/>
        <w:rPr/>
      </w:pPr>
      <w:r>
        <w:rPr/>
      </w:r>
    </w:p>
    <w:p>
      <w:pPr>
        <w:pStyle w:val="Normal"/>
        <w:pBdr>
          <w:bottom w:val="single" w:sz="18" w:space="1" w:color="000000"/>
        </w:pBdr>
        <w:ind w:left="-142" w:hanging="0"/>
        <w:rPr>
          <w:sz w:val="2"/>
        </w:rPr>
      </w:pPr>
      <w:r>
        <w:rPr>
          <w:sz w:val="2"/>
        </w:rPr>
        <w:tab/>
        <w:tab/>
        <w:tab/>
        <w:tab/>
        <w:tab/>
        <w:tab/>
        <w:tab/>
        <w:tab/>
      </w:r>
    </w:p>
    <w:p>
      <w:pPr>
        <w:pStyle w:val="Style19"/>
        <w:numPr>
          <w:ilvl w:val="0"/>
          <w:numId w:val="0"/>
        </w:numPr>
        <w:ind w:left="-142" w:hanging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Для индивидуальных юридических лиц </w:t>
      </w:r>
    </w:p>
    <w:p>
      <w:pPr>
        <w:pStyle w:val="Style19"/>
        <w:numPr>
          <w:ilvl w:val="0"/>
          <w:numId w:val="0"/>
        </w:numPr>
        <w:ind w:left="-142" w:hanging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Style19"/>
        <w:numPr>
          <w:ilvl w:val="0"/>
          <w:numId w:val="0"/>
        </w:numPr>
        <w:ind w:left="-142" w:hanging="0"/>
        <w:rPr>
          <w:rFonts w:ascii="Times New Roman" w:hAnsi="Times New Roman"/>
        </w:rPr>
      </w:pPr>
      <w:r>
        <w:rPr>
          <w:rFonts w:ascii="Times New Roman" w:hAnsi="Times New Roman"/>
        </w:rPr>
        <w:t>ПЕРЕЧЕНЬ ДОКУМЕНТОВ, НЕОБХОДИМЫХ ДЛЯ РАССМОТРЕНИЯ ЗАЯВКИ НА ПОЛУЧЕНИЕ КРЕДИТА В РАМКАХ ОНЛАЙН МЕХАНИЗМА РАССМОТРЕНИЯ ЗАЯВОК</w:t>
      </w:r>
      <w:r>
        <w:rPr>
          <w:rStyle w:val="Style14"/>
          <w:rFonts w:ascii="Times New Roman" w:hAnsi="Times New Roman"/>
        </w:rPr>
        <w:footnoteReference w:id="2"/>
      </w:r>
    </w:p>
    <w:p>
      <w:pPr>
        <w:pStyle w:val="Style19"/>
        <w:numPr>
          <w:ilvl w:val="0"/>
          <w:numId w:val="0"/>
        </w:numPr>
        <w:ind w:left="-142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1"/>
        </w:numPr>
        <w:ind w:left="-142" w:hanging="0"/>
        <w:jc w:val="both"/>
        <w:rPr>
          <w:b/>
          <w:b/>
          <w:sz w:val="23"/>
          <w:szCs w:val="23"/>
        </w:rPr>
      </w:pPr>
      <w:r>
        <w:rPr>
          <w:b/>
          <w:sz w:val="23"/>
          <w:szCs w:val="23"/>
        </w:rPr>
        <w:t>Анкета-заявка на предоставление кредита (в электронном или бумажном варианте).</w:t>
      </w:r>
    </w:p>
    <w:p>
      <w:pPr>
        <w:pStyle w:val="Normal"/>
        <w:numPr>
          <w:ilvl w:val="0"/>
          <w:numId w:val="1"/>
        </w:numPr>
        <w:ind w:left="-142" w:hanging="0"/>
        <w:jc w:val="both"/>
        <w:rPr>
          <w:b/>
          <w:b/>
          <w:sz w:val="23"/>
          <w:szCs w:val="23"/>
        </w:rPr>
      </w:pPr>
      <w:r>
        <w:rPr>
          <w:b/>
          <w:sz w:val="23"/>
          <w:szCs w:val="23"/>
        </w:rPr>
        <w:t>Заверенные подписями и печатью заявителя:</w:t>
      </w:r>
    </w:p>
    <w:p>
      <w:pPr>
        <w:pStyle w:val="ListParagraph"/>
        <w:numPr>
          <w:ilvl w:val="0"/>
          <w:numId w:val="8"/>
        </w:numPr>
        <w:ind w:left="0" w:hanging="0"/>
        <w:jc w:val="both"/>
        <w:rPr>
          <w:sz w:val="23"/>
          <w:szCs w:val="23"/>
        </w:rPr>
      </w:pPr>
      <w:r>
        <w:rPr>
          <w:sz w:val="23"/>
          <w:szCs w:val="23"/>
        </w:rPr>
        <w:t>согласие на обработку</w:t>
      </w:r>
      <w:bookmarkStart w:id="0" w:name="_GoBack"/>
      <w:bookmarkEnd w:id="0"/>
      <w:r>
        <w:rPr>
          <w:sz w:val="23"/>
          <w:szCs w:val="23"/>
        </w:rPr>
        <w:t xml:space="preserve"> персональных данных/ запрос в бюро кредитных историй на раскрытие информации (кредитный отчет) ПАО КБ “Центр-инвест (</w:t>
      </w:r>
      <w:r>
        <w:rPr>
          <w:sz w:val="24"/>
          <w:szCs w:val="24"/>
        </w:rPr>
        <w:t>возможно электронное оформление)</w:t>
      </w:r>
      <w:r>
        <w:rPr>
          <w:sz w:val="23"/>
          <w:szCs w:val="23"/>
        </w:rPr>
        <w:t>;</w:t>
      </w:r>
    </w:p>
    <w:p>
      <w:pPr>
        <w:pStyle w:val="ListParagraph"/>
        <w:numPr>
          <w:ilvl w:val="0"/>
          <w:numId w:val="8"/>
        </w:numPr>
        <w:ind w:left="0" w:hanging="0"/>
        <w:jc w:val="both"/>
        <w:rPr>
          <w:sz w:val="23"/>
          <w:szCs w:val="23"/>
        </w:rPr>
      </w:pPr>
      <w:r>
        <w:rPr>
          <w:sz w:val="23"/>
          <w:szCs w:val="23"/>
        </w:rPr>
        <w:t>официальная отчетность за последний финансовый период, в том числе управленческая отчетность (информация о выручке и прибыли клиента за последний календарный год и/или за более актуальный период при наличии);</w:t>
      </w:r>
    </w:p>
    <w:p>
      <w:pPr>
        <w:pStyle w:val="ListParagraph"/>
        <w:numPr>
          <w:ilvl w:val="0"/>
          <w:numId w:val="8"/>
        </w:numPr>
        <w:ind w:left="0" w:hanging="0"/>
        <w:jc w:val="both"/>
        <w:rPr>
          <w:sz w:val="23"/>
          <w:szCs w:val="23"/>
        </w:rPr>
      </w:pPr>
      <w:r>
        <w:rPr>
          <w:sz w:val="23"/>
          <w:szCs w:val="23"/>
        </w:rPr>
        <w:t>налоговые декларации за последний финансовый год.</w:t>
      </w:r>
    </w:p>
    <w:p>
      <w:pPr>
        <w:pStyle w:val="Normal"/>
        <w:numPr>
          <w:ilvl w:val="0"/>
          <w:numId w:val="1"/>
        </w:numPr>
        <w:ind w:left="-142" w:hanging="0"/>
        <w:jc w:val="both"/>
        <w:rPr>
          <w:b/>
          <w:b/>
          <w:sz w:val="23"/>
          <w:szCs w:val="23"/>
        </w:rPr>
      </w:pPr>
      <w:r>
        <w:rPr>
          <w:b/>
          <w:sz w:val="23"/>
          <w:szCs w:val="23"/>
        </w:rPr>
        <w:t>Прочие документы:</w:t>
      </w:r>
    </w:p>
    <w:p>
      <w:pPr>
        <w:pStyle w:val="ListParagraph"/>
        <w:numPr>
          <w:ilvl w:val="0"/>
          <w:numId w:val="8"/>
        </w:numPr>
        <w:ind w:left="-142" w:hanging="0"/>
        <w:jc w:val="both"/>
        <w:rPr>
          <w:sz w:val="23"/>
          <w:szCs w:val="23"/>
        </w:rPr>
      </w:pPr>
      <w:r>
        <w:rPr>
          <w:sz w:val="23"/>
          <w:szCs w:val="23"/>
        </w:rPr>
        <w:t>анализ 51 счета или выписка со счета за последние 12 месяцев;</w:t>
      </w:r>
    </w:p>
    <w:p>
      <w:pPr>
        <w:pStyle w:val="ListParagraph"/>
        <w:numPr>
          <w:ilvl w:val="0"/>
          <w:numId w:val="8"/>
        </w:numPr>
        <w:ind w:left="-142" w:hanging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согласие поручителей, залогодателей </w:t>
      </w:r>
      <w:r>
        <w:rPr>
          <w:sz w:val="24"/>
          <w:szCs w:val="24"/>
        </w:rPr>
        <w:t>на обработку персональных данных (для физических лиц)/запрос</w:t>
      </w:r>
      <w:r>
        <w:rPr>
          <w:sz w:val="23"/>
          <w:szCs w:val="23"/>
        </w:rPr>
        <w:t xml:space="preserve"> в бюро кредитных историй на раскрытие информации (кредитный отчет) ПАО КБ “Центр-инвест (возможно электронное оформление);</w:t>
      </w:r>
    </w:p>
    <w:p>
      <w:pPr>
        <w:pStyle w:val="ListParagraph"/>
        <w:numPr>
          <w:ilvl w:val="0"/>
          <w:numId w:val="8"/>
        </w:numPr>
        <w:ind w:left="-142" w:hanging="0"/>
        <w:jc w:val="both"/>
        <w:rPr>
          <w:sz w:val="23"/>
          <w:szCs w:val="23"/>
        </w:rPr>
      </w:pPr>
      <w:r>
        <w:rPr>
          <w:sz w:val="23"/>
          <w:szCs w:val="23"/>
        </w:rPr>
        <w:t>документы, подтверждающие соответствие Заемщика льготной программе кредитования (в случае подачи заявки по программе с государственной поддержкой</w:t>
      </w:r>
      <w:r>
        <w:rPr>
          <w:sz w:val="24"/>
        </w:rPr>
        <w:t>)</w:t>
      </w:r>
      <w:r>
        <w:rPr>
          <w:sz w:val="23"/>
          <w:szCs w:val="23"/>
        </w:rPr>
        <w:t>.</w:t>
      </w:r>
    </w:p>
    <w:p>
      <w:pPr>
        <w:pStyle w:val="Normal"/>
        <w:ind w:left="-142" w:hanging="0"/>
        <w:jc w:val="both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Документы, предоставляемые после принятия решения Кредитным Комитетом:</w:t>
      </w:r>
    </w:p>
    <w:p>
      <w:pPr>
        <w:pStyle w:val="Normal"/>
        <w:ind w:left="-142" w:hanging="0"/>
        <w:jc w:val="both"/>
        <w:rPr>
          <w:sz w:val="23"/>
          <w:szCs w:val="23"/>
        </w:rPr>
      </w:pPr>
      <w:r>
        <w:rPr>
          <w:iCs/>
          <w:sz w:val="24"/>
          <w:szCs w:val="24"/>
        </w:rPr>
        <w:t>одобрение крупной сделки (при необходимости)</w:t>
      </w:r>
    </w:p>
    <w:p>
      <w:pPr>
        <w:pStyle w:val="Normal"/>
        <w:numPr>
          <w:ilvl w:val="0"/>
          <w:numId w:val="1"/>
        </w:numPr>
        <w:tabs>
          <w:tab w:val="clear" w:pos="720"/>
        </w:tabs>
        <w:ind w:left="-142" w:hanging="0"/>
        <w:jc w:val="both"/>
        <w:rPr>
          <w:b/>
          <w:b/>
          <w:sz w:val="23"/>
          <w:szCs w:val="23"/>
        </w:rPr>
      </w:pPr>
      <w:r>
        <w:rPr>
          <w:b/>
          <w:sz w:val="23"/>
          <w:szCs w:val="23"/>
        </w:rPr>
        <w:t>Документы по обеспечению кредита.</w:t>
      </w:r>
    </w:p>
    <w:p>
      <w:pPr>
        <w:pStyle w:val="BodyText2"/>
        <w:numPr>
          <w:ilvl w:val="0"/>
          <w:numId w:val="0"/>
        </w:numPr>
        <w:ind w:left="-142" w:hanging="0"/>
        <w:rPr>
          <w:b/>
          <w:b/>
          <w:i/>
          <w:i/>
          <w:sz w:val="23"/>
          <w:szCs w:val="23"/>
        </w:rPr>
      </w:pPr>
      <w:r>
        <w:rPr>
          <w:b/>
          <w:i/>
          <w:sz w:val="23"/>
          <w:szCs w:val="23"/>
        </w:rPr>
        <w:t>4.1. По кредитам, обеспеченным банковской гарантией, поручительством:</w:t>
      </w:r>
    </w:p>
    <w:p>
      <w:pPr>
        <w:pStyle w:val="Normal"/>
        <w:numPr>
          <w:ilvl w:val="0"/>
          <w:numId w:val="4"/>
        </w:numPr>
        <w:ind w:left="-142" w:hanging="0"/>
        <w:jc w:val="both"/>
        <w:rPr>
          <w:sz w:val="23"/>
          <w:szCs w:val="23"/>
        </w:rPr>
      </w:pPr>
      <w:r>
        <w:rPr>
          <w:sz w:val="23"/>
          <w:szCs w:val="23"/>
        </w:rPr>
        <w:t>документы, подтверждающие юридический статус и экономическое состояние поручителя, гаранта (см. п.2, п.3).</w:t>
      </w:r>
    </w:p>
    <w:p>
      <w:pPr>
        <w:pStyle w:val="Normal"/>
        <w:numPr>
          <w:ilvl w:val="0"/>
          <w:numId w:val="4"/>
        </w:numPr>
        <w:ind w:left="-142" w:hanging="0"/>
        <w:jc w:val="both"/>
        <w:rPr>
          <w:sz w:val="23"/>
          <w:szCs w:val="23"/>
        </w:rPr>
      </w:pPr>
      <w:r>
        <w:rPr>
          <w:sz w:val="23"/>
          <w:szCs w:val="23"/>
        </w:rPr>
        <w:t>заверенные  копии всех страниц паспортов поручителей – физических лиц.</w:t>
      </w:r>
    </w:p>
    <w:p>
      <w:pPr>
        <w:pStyle w:val="Normal"/>
        <w:ind w:left="-142" w:hanging="0"/>
        <w:jc w:val="both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Документы, предоставляемые после принятия решения Кредитным Комитетом:</w:t>
      </w:r>
    </w:p>
    <w:p>
      <w:pPr>
        <w:pStyle w:val="ListParagraph"/>
        <w:numPr>
          <w:ilvl w:val="0"/>
          <w:numId w:val="10"/>
        </w:numPr>
        <w:ind w:left="-142" w:hanging="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для юридических лиц – одобрение крупной сделки (при необходимости)</w:t>
      </w:r>
    </w:p>
    <w:p>
      <w:pPr>
        <w:pStyle w:val="Normal"/>
        <w:ind w:left="-142" w:hanging="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BodyText2"/>
        <w:numPr>
          <w:ilvl w:val="0"/>
          <w:numId w:val="0"/>
        </w:numPr>
        <w:ind w:left="-142" w:hanging="0"/>
        <w:rPr>
          <w:b/>
          <w:b/>
          <w:i/>
          <w:i/>
          <w:sz w:val="23"/>
          <w:szCs w:val="23"/>
        </w:rPr>
      </w:pPr>
      <w:r>
        <w:rPr>
          <w:b/>
          <w:i/>
          <w:sz w:val="23"/>
          <w:szCs w:val="23"/>
        </w:rPr>
        <w:t>4.2. По кредитам, обеспеченным залогом, в случае, если залогодатель- 3-е лицо:</w:t>
      </w:r>
    </w:p>
    <w:p>
      <w:pPr>
        <w:pStyle w:val="Normal"/>
        <w:numPr>
          <w:ilvl w:val="0"/>
          <w:numId w:val="4"/>
        </w:numPr>
        <w:ind w:left="-142" w:hanging="0"/>
        <w:jc w:val="both"/>
        <w:rPr>
          <w:sz w:val="23"/>
          <w:szCs w:val="23"/>
        </w:rPr>
      </w:pPr>
      <w:r>
        <w:rPr>
          <w:sz w:val="23"/>
          <w:szCs w:val="23"/>
        </w:rPr>
        <w:t>документы, подтверждающие юридический статус и экономическое состояние залогодателя  (см. п.2).</w:t>
      </w:r>
    </w:p>
    <w:p>
      <w:pPr>
        <w:pStyle w:val="Normal"/>
        <w:numPr>
          <w:ilvl w:val="0"/>
          <w:numId w:val="4"/>
        </w:numPr>
        <w:ind w:left="-142" w:hanging="0"/>
        <w:jc w:val="both"/>
        <w:rPr>
          <w:sz w:val="23"/>
          <w:szCs w:val="23"/>
        </w:rPr>
      </w:pPr>
      <w:r>
        <w:rPr>
          <w:sz w:val="23"/>
          <w:szCs w:val="23"/>
        </w:rPr>
        <w:t>заверенные  копии всех страниц паспортов залогодателей – физических лиц.</w:t>
      </w:r>
    </w:p>
    <w:p>
      <w:pPr>
        <w:pStyle w:val="Normal"/>
        <w:ind w:left="-142" w:hanging="0"/>
        <w:jc w:val="both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Документы, предоставляемые после принятия решения Кредитным Комитетом:</w:t>
      </w:r>
    </w:p>
    <w:p>
      <w:pPr>
        <w:pStyle w:val="ListParagraph"/>
        <w:numPr>
          <w:ilvl w:val="0"/>
          <w:numId w:val="10"/>
        </w:numPr>
        <w:ind w:left="-142" w:hanging="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для юридических лиц – одобрение крупной сделки (при необходимости)</w:t>
      </w:r>
    </w:p>
    <w:p>
      <w:pPr>
        <w:pStyle w:val="Normal"/>
        <w:ind w:left="-142" w:hanging="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BodyText2"/>
        <w:numPr>
          <w:ilvl w:val="0"/>
          <w:numId w:val="0"/>
        </w:numPr>
        <w:ind w:left="-142" w:hanging="0"/>
        <w:rPr>
          <w:i/>
          <w:i/>
          <w:sz w:val="23"/>
          <w:szCs w:val="23"/>
        </w:rPr>
      </w:pPr>
      <w:r>
        <w:rPr>
          <w:b/>
          <w:i/>
          <w:sz w:val="23"/>
          <w:szCs w:val="23"/>
        </w:rPr>
        <w:t>4.3.  По кредитам, обеспечиваемым залогом недвижимости</w:t>
      </w:r>
      <w:r>
        <w:rPr>
          <w:i/>
          <w:sz w:val="23"/>
          <w:szCs w:val="23"/>
        </w:rPr>
        <w:t>: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284" w:leader="none"/>
        </w:tabs>
        <w:ind w:left="-142" w:hanging="0"/>
        <w:jc w:val="both"/>
        <w:rPr>
          <w:sz w:val="23"/>
          <w:szCs w:val="23"/>
        </w:rPr>
      </w:pPr>
      <w:r>
        <w:rPr>
          <w:sz w:val="23"/>
          <w:szCs w:val="23"/>
        </w:rPr>
        <w:t>Паспорта физ. лица – Залогодателя, Учредительных документов в действующей редакции и Документов, подтверждающие полномочия уполномоченного лица – Залогодателя юридического лица;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284" w:leader="none"/>
        </w:tabs>
        <w:ind w:left="-142" w:hanging="0"/>
        <w:jc w:val="both"/>
        <w:rPr>
          <w:sz w:val="23"/>
          <w:szCs w:val="23"/>
        </w:rPr>
      </w:pPr>
      <w:r>
        <w:rPr>
          <w:sz w:val="23"/>
          <w:szCs w:val="23"/>
        </w:rPr>
        <w:t>документы, подтверждающие право собственности или  хозяйственного ведения заявителя на все объекты недвижимости и земельный участок;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284" w:leader="none"/>
        </w:tabs>
        <w:ind w:left="-142" w:hanging="0"/>
        <w:jc w:val="both"/>
        <w:rPr>
          <w:sz w:val="23"/>
          <w:szCs w:val="23"/>
        </w:rPr>
      </w:pPr>
      <w:r>
        <w:rPr>
          <w:sz w:val="23"/>
          <w:szCs w:val="23"/>
        </w:rPr>
        <w:t>документы-основания приобретения права собственности или хозяйственного ведения заявителя на закладываемую недвижимость (земельный участок)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284" w:leader="none"/>
        </w:tabs>
        <w:ind w:left="-142" w:hanging="0"/>
        <w:jc w:val="both"/>
        <w:rPr>
          <w:sz w:val="23"/>
          <w:szCs w:val="23"/>
        </w:rPr>
      </w:pPr>
      <w:r>
        <w:rPr>
          <w:sz w:val="23"/>
          <w:szCs w:val="23"/>
        </w:rPr>
        <w:t>Копии документов, подтверждающих права на земельный участок (договор аренды, зарегистрированный в установленном законом порядке, на срок не менее срока кредита) (если земельный участок не в собственности);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284" w:leader="none"/>
        </w:tabs>
        <w:ind w:left="-142" w:hanging="0"/>
        <w:jc w:val="both"/>
        <w:rPr>
          <w:sz w:val="23"/>
          <w:szCs w:val="23"/>
        </w:rPr>
      </w:pPr>
      <w:r>
        <w:rPr>
          <w:sz w:val="23"/>
          <w:szCs w:val="23"/>
        </w:rPr>
        <w:t>Копии документов, подтверждающих оплату земельного участка (если купля-продажа), акт приема-передачи;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284" w:leader="none"/>
        </w:tabs>
        <w:ind w:left="-142" w:hanging="0"/>
        <w:jc w:val="both"/>
        <w:rPr>
          <w:sz w:val="23"/>
          <w:szCs w:val="23"/>
        </w:rPr>
      </w:pPr>
      <w:r>
        <w:rPr>
          <w:sz w:val="23"/>
          <w:szCs w:val="23"/>
        </w:rPr>
        <w:t>технический паспорт (не старше 5 лет со дня его выдачи, при наличии);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284" w:leader="none"/>
        </w:tabs>
        <w:ind w:left="-142" w:hanging="0"/>
        <w:jc w:val="both"/>
        <w:rPr>
          <w:sz w:val="23"/>
          <w:szCs w:val="23"/>
        </w:rPr>
      </w:pPr>
      <w:r>
        <w:rPr>
          <w:sz w:val="23"/>
          <w:szCs w:val="23"/>
        </w:rPr>
        <w:t>справку о балансовой стоимости предмета залога (если залогодатель – юридическое лицо);</w:t>
      </w:r>
    </w:p>
    <w:p>
      <w:pPr>
        <w:pStyle w:val="Normal"/>
        <w:ind w:left="-142" w:hanging="0"/>
        <w:jc w:val="both"/>
        <w:rPr>
          <w:sz w:val="23"/>
          <w:szCs w:val="23"/>
        </w:rPr>
      </w:pPr>
      <w:r>
        <w:rPr>
          <w:sz w:val="23"/>
          <w:szCs w:val="23"/>
        </w:rPr>
        <w:t>•</w:t>
      </w:r>
      <w:r>
        <w:rPr>
          <w:sz w:val="23"/>
          <w:szCs w:val="23"/>
        </w:rPr>
        <w:tab/>
        <w:t>копию домовой книги или справку обо всех зарегистрированных лицах (по залогу жилой недвижимости);</w:t>
      </w:r>
    </w:p>
    <w:p>
      <w:pPr>
        <w:pStyle w:val="Normal"/>
        <w:ind w:left="-142" w:hanging="0"/>
        <w:jc w:val="both"/>
        <w:rPr>
          <w:sz w:val="23"/>
          <w:szCs w:val="23"/>
        </w:rPr>
      </w:pPr>
      <w:r>
        <w:rPr>
          <w:sz w:val="23"/>
          <w:szCs w:val="23"/>
        </w:rPr>
        <w:t>•</w:t>
      </w:r>
      <w:r>
        <w:rPr>
          <w:sz w:val="23"/>
          <w:szCs w:val="23"/>
        </w:rPr>
        <w:tab/>
        <w:t>справку об отсутствии задолженности по коммунальным платежам(по залогу жилой недвижимости);</w:t>
      </w:r>
    </w:p>
    <w:p>
      <w:pPr>
        <w:pStyle w:val="Normal"/>
        <w:ind w:left="-142" w:hanging="0"/>
        <w:jc w:val="both"/>
        <w:rPr>
          <w:sz w:val="23"/>
          <w:szCs w:val="23"/>
        </w:rPr>
      </w:pPr>
      <w:r>
        <w:rPr>
          <w:sz w:val="23"/>
          <w:szCs w:val="23"/>
        </w:rPr>
        <w:t>•</w:t>
      </w:r>
      <w:r>
        <w:rPr>
          <w:sz w:val="23"/>
          <w:szCs w:val="23"/>
        </w:rPr>
        <w:tab/>
        <w:t>справку об отсутствии задолженности по налогу на имущество физических лиц и земельному налогу (по залогу жилой недвижимости);</w:t>
      </w:r>
    </w:p>
    <w:p>
      <w:pPr>
        <w:pStyle w:val="Normal"/>
        <w:ind w:left="-142" w:hanging="0"/>
        <w:jc w:val="both"/>
        <w:rPr>
          <w:i/>
          <w:i/>
          <w:sz w:val="23"/>
          <w:szCs w:val="23"/>
        </w:rPr>
      </w:pPr>
      <w:r>
        <w:rPr>
          <w:i/>
          <w:sz w:val="23"/>
          <w:szCs w:val="23"/>
        </w:rPr>
        <w:t>Документы, предоставляемые после принятия решения Кредитным Комитетом: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284" w:leader="none"/>
        </w:tabs>
        <w:ind w:left="-142" w:hanging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Выписки из ЕГРН на день совершения сделки на недвижимость и земельный участок; 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284" w:leader="none"/>
        </w:tabs>
        <w:ind w:left="-142" w:hanging="0"/>
        <w:jc w:val="both"/>
        <w:rPr>
          <w:sz w:val="23"/>
          <w:szCs w:val="23"/>
        </w:rPr>
      </w:pPr>
      <w:r>
        <w:rPr>
          <w:sz w:val="23"/>
          <w:szCs w:val="23"/>
        </w:rPr>
        <w:t>согласие комитета по земельным ресурсам и землеустройству на залог (при залоге права аренды земли);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284" w:leader="none"/>
        </w:tabs>
        <w:ind w:left="-142" w:hanging="0"/>
        <w:jc w:val="both"/>
        <w:rPr>
          <w:sz w:val="23"/>
          <w:szCs w:val="23"/>
        </w:rPr>
      </w:pPr>
      <w:r>
        <w:rPr>
          <w:sz w:val="23"/>
          <w:szCs w:val="23"/>
        </w:rPr>
        <w:t>Справка-согласие субарендоторов на возможное вступление в договор аренды третьих лиц;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284" w:leader="none"/>
        </w:tabs>
        <w:ind w:left="-142" w:hanging="0"/>
        <w:jc w:val="both"/>
        <w:rPr>
          <w:sz w:val="23"/>
          <w:szCs w:val="23"/>
        </w:rPr>
      </w:pPr>
      <w:r>
        <w:rPr>
          <w:sz w:val="23"/>
          <w:szCs w:val="23"/>
        </w:rPr>
        <w:t>документ, содержащий письменное согласие собственника на залог недвижимого имущества (если имущество находится в хозяйственном ведении у федеральных, государственных или муниципальных унитарных предприятий);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284" w:leader="none"/>
        </w:tabs>
        <w:ind w:left="-142" w:hanging="0"/>
        <w:jc w:val="both"/>
        <w:rPr>
          <w:sz w:val="23"/>
          <w:szCs w:val="23"/>
        </w:rPr>
      </w:pPr>
      <w:r>
        <w:rPr>
          <w:sz w:val="23"/>
          <w:szCs w:val="23"/>
        </w:rPr>
        <w:t>нотариально заверенное согласие совладельца (супруга (ги)) о передаче в залог недвижимости (если залогодатель физическое лицо).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284" w:leader="none"/>
          <w:tab w:val="left" w:pos="360" w:leader="none"/>
          <w:tab w:val="left" w:pos="900" w:leader="none"/>
          <w:tab w:val="left" w:pos="1080" w:leader="none"/>
        </w:tabs>
        <w:ind w:left="-142" w:hanging="0"/>
        <w:jc w:val="both"/>
        <w:rPr>
          <w:sz w:val="23"/>
          <w:szCs w:val="23"/>
        </w:rPr>
      </w:pPr>
      <w:r>
        <w:rPr>
          <w:sz w:val="23"/>
          <w:szCs w:val="23"/>
        </w:rPr>
        <w:t>Справка Залогодателя обо всех правах третьих лиц на недвижимость и земельный участок  с приложением копий договоров – оснований прав;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284" w:leader="none"/>
        </w:tabs>
        <w:ind w:left="-142" w:hanging="0"/>
        <w:jc w:val="both"/>
        <w:rPr>
          <w:sz w:val="23"/>
          <w:szCs w:val="23"/>
        </w:rPr>
      </w:pPr>
      <w:r>
        <w:rPr>
          <w:sz w:val="23"/>
          <w:szCs w:val="23"/>
        </w:rPr>
        <w:t>Письма третьих лиц, имеющих права на недвижимость и земельный участок  (арендаторов, ссудополучателей) о согласии освободить недвижимость и земельный участок по требованию Банка.</w:t>
      </w:r>
    </w:p>
    <w:p>
      <w:pPr>
        <w:pStyle w:val="Normal"/>
        <w:ind w:left="-142" w:hanging="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BodyText2"/>
        <w:numPr>
          <w:ilvl w:val="0"/>
          <w:numId w:val="0"/>
        </w:numPr>
        <w:ind w:left="-142" w:hanging="0"/>
        <w:rPr>
          <w:b/>
          <w:b/>
          <w:i/>
          <w:i/>
          <w:sz w:val="23"/>
          <w:szCs w:val="23"/>
        </w:rPr>
      </w:pPr>
      <w:r>
        <w:rPr>
          <w:b/>
          <w:i/>
          <w:sz w:val="23"/>
          <w:szCs w:val="23"/>
        </w:rPr>
        <w:t>4.5. По кредитам, обеспечиваемым залогом имущества:</w:t>
      </w:r>
    </w:p>
    <w:p>
      <w:pPr>
        <w:pStyle w:val="Normal"/>
        <w:numPr>
          <w:ilvl w:val="0"/>
          <w:numId w:val="3"/>
        </w:numPr>
        <w:ind w:left="-142" w:hanging="0"/>
        <w:jc w:val="both"/>
        <w:rPr>
          <w:sz w:val="23"/>
          <w:szCs w:val="23"/>
        </w:rPr>
      </w:pPr>
      <w:r>
        <w:rPr>
          <w:sz w:val="23"/>
          <w:szCs w:val="23"/>
        </w:rPr>
        <w:t>перечень имущества, передаваемого в залог, с указанием балансовой стоимости  и адреса его местонахождения</w:t>
      </w:r>
    </w:p>
    <w:p>
      <w:pPr>
        <w:pStyle w:val="Normal"/>
        <w:numPr>
          <w:ilvl w:val="0"/>
          <w:numId w:val="3"/>
        </w:numPr>
        <w:ind w:left="-142" w:hanging="0"/>
        <w:jc w:val="both"/>
        <w:rPr>
          <w:sz w:val="23"/>
          <w:szCs w:val="23"/>
        </w:rPr>
      </w:pPr>
      <w:r>
        <w:rPr>
          <w:sz w:val="23"/>
          <w:szCs w:val="23"/>
        </w:rPr>
        <w:t>документы, удостоверяющие право собственности заявителя на имущество: договоры, контракты, таможенные и транспортные накладные, платежные документы об оплате, приходные складские накладные и др.;</w:t>
      </w:r>
    </w:p>
    <w:p>
      <w:pPr>
        <w:pStyle w:val="Normal"/>
        <w:numPr>
          <w:ilvl w:val="0"/>
          <w:numId w:val="3"/>
        </w:numPr>
        <w:ind w:left="-142" w:hanging="0"/>
        <w:jc w:val="both"/>
        <w:rPr>
          <w:sz w:val="23"/>
          <w:szCs w:val="23"/>
        </w:rPr>
      </w:pPr>
      <w:r>
        <w:rPr>
          <w:sz w:val="23"/>
          <w:szCs w:val="23"/>
        </w:rPr>
        <w:t>актуальные документы, удостоверяющие наличие помещений для хранения имущества (право собственности на помещения, договоры аренды, договоры о совместной деятельности и т.п.).</w:t>
      </w:r>
    </w:p>
    <w:p>
      <w:pPr>
        <w:pStyle w:val="Normal"/>
        <w:numPr>
          <w:ilvl w:val="0"/>
          <w:numId w:val="3"/>
        </w:numPr>
        <w:ind w:left="-142" w:hanging="0"/>
        <w:jc w:val="both"/>
        <w:rPr>
          <w:sz w:val="23"/>
          <w:szCs w:val="23"/>
        </w:rPr>
      </w:pPr>
      <w:r>
        <w:rPr>
          <w:sz w:val="23"/>
          <w:szCs w:val="23"/>
        </w:rPr>
        <w:t>инвентарные карточки учета –при наличии</w:t>
      </w:r>
    </w:p>
    <w:p>
      <w:pPr>
        <w:pStyle w:val="BodyText2"/>
        <w:numPr>
          <w:ilvl w:val="0"/>
          <w:numId w:val="0"/>
        </w:numPr>
        <w:ind w:left="-142" w:hanging="0"/>
        <w:rPr>
          <w:b/>
          <w:b/>
          <w:i/>
          <w:i/>
          <w:sz w:val="23"/>
          <w:szCs w:val="23"/>
        </w:rPr>
      </w:pPr>
      <w:r>
        <w:rPr>
          <w:b/>
          <w:i/>
          <w:sz w:val="23"/>
          <w:szCs w:val="23"/>
        </w:rPr>
        <w:t>4.6. По кредитам, обеспечиваемым залогом автомобиля:</w:t>
      </w:r>
    </w:p>
    <w:p>
      <w:pPr>
        <w:pStyle w:val="Normal"/>
        <w:numPr>
          <w:ilvl w:val="0"/>
          <w:numId w:val="6"/>
        </w:numPr>
        <w:ind w:left="-142" w:hanging="0"/>
        <w:jc w:val="both"/>
        <w:rPr>
          <w:sz w:val="23"/>
          <w:szCs w:val="23"/>
        </w:rPr>
      </w:pPr>
      <w:r>
        <w:rPr>
          <w:sz w:val="23"/>
          <w:szCs w:val="23"/>
        </w:rPr>
        <w:t>паспорт транспортного средства  (копия );</w:t>
      </w:r>
    </w:p>
    <w:p>
      <w:pPr>
        <w:pStyle w:val="Normal"/>
        <w:numPr>
          <w:ilvl w:val="0"/>
          <w:numId w:val="6"/>
        </w:numPr>
        <w:ind w:left="-142" w:hanging="0"/>
        <w:jc w:val="both"/>
        <w:rPr>
          <w:sz w:val="23"/>
          <w:szCs w:val="23"/>
        </w:rPr>
      </w:pPr>
      <w:r>
        <w:rPr>
          <w:sz w:val="23"/>
          <w:szCs w:val="23"/>
        </w:rPr>
        <w:t>регистрационное свидетельство (копия);</w:t>
      </w:r>
    </w:p>
    <w:p>
      <w:pPr>
        <w:pStyle w:val="BodyText2"/>
        <w:numPr>
          <w:ilvl w:val="0"/>
          <w:numId w:val="7"/>
        </w:numPr>
        <w:ind w:left="-142" w:hanging="0"/>
        <w:rPr>
          <w:b/>
          <w:b/>
          <w:i/>
          <w:i/>
          <w:sz w:val="23"/>
          <w:szCs w:val="23"/>
        </w:rPr>
      </w:pPr>
      <w:r>
        <w:rPr>
          <w:sz w:val="23"/>
          <w:szCs w:val="23"/>
        </w:rPr>
        <w:t>копии всех страниц паспорта залогодателя  и заверенное согласие супруга (ги) о передаче в залог  автотранспорта  (если залогодатель – физическое лицо).</w:t>
      </w:r>
    </w:p>
    <w:p>
      <w:pPr>
        <w:pStyle w:val="ListParagraph"/>
        <w:tabs>
          <w:tab w:val="clear" w:pos="720"/>
          <w:tab w:val="left" w:pos="851" w:leader="none"/>
        </w:tabs>
        <w:ind w:left="-142" w:hanging="0"/>
        <w:jc w:val="both"/>
        <w:rPr>
          <w:i/>
          <w:i/>
          <w:sz w:val="23"/>
          <w:szCs w:val="23"/>
        </w:rPr>
      </w:pPr>
      <w:r>
        <w:rPr>
          <w:i/>
          <w:sz w:val="23"/>
          <w:szCs w:val="23"/>
        </w:rPr>
        <w:t>Документы, предоставляемые после принятия решения Кредитным Комитетом:</w:t>
      </w:r>
    </w:p>
    <w:p>
      <w:pPr>
        <w:pStyle w:val="Normal"/>
        <w:numPr>
          <w:ilvl w:val="0"/>
          <w:numId w:val="7"/>
        </w:numPr>
        <w:ind w:left="-142" w:hanging="0"/>
        <w:jc w:val="both"/>
        <w:rPr>
          <w:sz w:val="23"/>
          <w:szCs w:val="23"/>
        </w:rPr>
      </w:pPr>
      <w:r>
        <w:rPr>
          <w:sz w:val="23"/>
          <w:szCs w:val="23"/>
        </w:rPr>
        <w:t>паспорт транспортного средства  (оригинал);</w:t>
      </w:r>
    </w:p>
    <w:p>
      <w:pPr>
        <w:pStyle w:val="BodyText2"/>
        <w:numPr>
          <w:ilvl w:val="0"/>
          <w:numId w:val="0"/>
        </w:numPr>
        <w:ind w:left="-142" w:hanging="0"/>
        <w:rPr>
          <w:b/>
          <w:b/>
          <w:i/>
          <w:i/>
          <w:sz w:val="23"/>
          <w:szCs w:val="23"/>
        </w:rPr>
      </w:pPr>
      <w:r>
        <w:rPr>
          <w:b/>
          <w:i/>
          <w:sz w:val="23"/>
          <w:szCs w:val="23"/>
        </w:rPr>
        <w:t>4.7. По кредитам, обеспечиваемым залогом товаров в обороте:</w:t>
      </w:r>
    </w:p>
    <w:p>
      <w:pPr>
        <w:pStyle w:val="Normal"/>
        <w:numPr>
          <w:ilvl w:val="0"/>
          <w:numId w:val="5"/>
        </w:numPr>
        <w:ind w:left="-142" w:hanging="0"/>
        <w:jc w:val="both"/>
        <w:rPr>
          <w:sz w:val="23"/>
          <w:szCs w:val="23"/>
        </w:rPr>
      </w:pPr>
      <w:r>
        <w:rPr>
          <w:sz w:val="23"/>
          <w:szCs w:val="23"/>
        </w:rPr>
        <w:t>спецификация товара с указанием его закупочной и продажной цены;</w:t>
      </w:r>
    </w:p>
    <w:p>
      <w:pPr>
        <w:pStyle w:val="Normal"/>
        <w:numPr>
          <w:ilvl w:val="0"/>
          <w:numId w:val="5"/>
        </w:numPr>
        <w:ind w:left="-142" w:hanging="0"/>
        <w:jc w:val="both"/>
        <w:rPr>
          <w:sz w:val="23"/>
          <w:szCs w:val="23"/>
        </w:rPr>
      </w:pPr>
      <w:r>
        <w:rPr>
          <w:sz w:val="23"/>
          <w:szCs w:val="23"/>
        </w:rPr>
        <w:t>справка о товарных остатках на складе с указанием количества и суммы товара, передаваемого в залог, адрес мест хранения товара, копии договоров (контрактов), накладных, таможенных, платежных и иных документов, подтверждающих право собственности залогодателя на товар;</w:t>
      </w:r>
    </w:p>
    <w:p>
      <w:pPr>
        <w:pStyle w:val="Normal"/>
        <w:numPr>
          <w:ilvl w:val="0"/>
          <w:numId w:val="5"/>
        </w:numPr>
        <w:ind w:left="-142" w:hanging="0"/>
        <w:jc w:val="both"/>
        <w:rPr>
          <w:sz w:val="23"/>
          <w:szCs w:val="23"/>
        </w:rPr>
      </w:pPr>
      <w:r>
        <w:rPr>
          <w:sz w:val="23"/>
          <w:szCs w:val="23"/>
        </w:rPr>
        <w:t>актуальные договоры аренды или договоры, подтверждающие право собственности залогодателя на складские помещения,  в которых  хранится  товар.</w:t>
      </w:r>
    </w:p>
    <w:p>
      <w:pPr>
        <w:pStyle w:val="Normal"/>
        <w:ind w:left="-142" w:hanging="0"/>
        <w:jc w:val="both"/>
        <w:rPr>
          <w:sz w:val="23"/>
          <w:szCs w:val="23"/>
        </w:rPr>
      </w:pPr>
      <w:r>
        <w:rPr>
          <w:sz w:val="23"/>
          <w:szCs w:val="23"/>
        </w:rPr>
        <w:t>Оборотно-сальдовая ведомость по всем счетам общая (при необходимости)</w:t>
      </w:r>
    </w:p>
    <w:p>
      <w:pPr>
        <w:pStyle w:val="Normal"/>
        <w:ind w:left="-142" w:hanging="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tabs>
          <w:tab w:val="clear" w:pos="720"/>
          <w:tab w:val="left" w:pos="927" w:leader="none"/>
        </w:tabs>
        <w:ind w:left="-142" w:hanging="0"/>
        <w:jc w:val="both"/>
        <w:rPr>
          <w:b/>
          <w:b/>
          <w:sz w:val="23"/>
          <w:szCs w:val="23"/>
        </w:rPr>
      </w:pPr>
      <w:r>
        <w:rPr>
          <w:b/>
          <w:sz w:val="23"/>
          <w:szCs w:val="23"/>
        </w:rPr>
        <w:t xml:space="preserve">Банк вправе потребовать предоставления других документов, не указанных в данном перечне. </w:t>
      </w:r>
    </w:p>
    <w:p>
      <w:pPr>
        <w:pStyle w:val="3"/>
        <w:ind w:left="-142" w:hanging="0"/>
        <w:rPr>
          <w:sz w:val="23"/>
          <w:szCs w:val="23"/>
          <w:lang w:val="ru-RU"/>
        </w:rPr>
      </w:pPr>
      <w:r>
        <w:rPr>
          <w:sz w:val="23"/>
          <w:szCs w:val="23"/>
          <w:lang w:val="ru-RU"/>
        </w:rPr>
        <w:t>Телефон отдела кредитования малого и среднего бизнеса: (863)  250-99-09</w:t>
      </w:r>
    </w:p>
    <w:p>
      <w:pPr>
        <w:pStyle w:val="3"/>
        <w:ind w:left="-142" w:hanging="0"/>
        <w:rPr>
          <w:b w:val="false"/>
          <w:b w:val="false"/>
          <w:sz w:val="23"/>
          <w:szCs w:val="23"/>
          <w:lang w:val="ru-RU"/>
        </w:rPr>
      </w:pPr>
      <w:r>
        <w:rPr>
          <w:sz w:val="23"/>
          <w:szCs w:val="23"/>
          <w:lang w:val="ru-RU"/>
        </w:rPr>
        <w:t>Телефон отдела кредитования корпоративных клиентов:  (863)  267-36-44</w:t>
      </w:r>
    </w:p>
    <w:p>
      <w:pPr>
        <w:pStyle w:val="Normal"/>
        <w:ind w:left="-142" w:hanging="0"/>
        <w:rPr>
          <w:sz w:val="23"/>
          <w:szCs w:val="23"/>
          <w:lang w:val="en-US"/>
        </w:rPr>
      </w:pPr>
      <w:r>
        <w:rPr>
          <w:b/>
          <w:sz w:val="23"/>
          <w:szCs w:val="23"/>
          <w:lang w:val="en-US"/>
        </w:rPr>
        <w:t>e-mail: csb@centrinvest.ru</w:t>
      </w:r>
    </w:p>
    <w:sectPr>
      <w:footnotePr>
        <w:numFmt w:val="decimal"/>
      </w:footnotePr>
      <w:type w:val="nextPage"/>
      <w:pgSz w:w="11906" w:h="16838"/>
      <w:pgMar w:left="851" w:right="737" w:gutter="0" w:header="0" w:top="567" w:footer="0" w:bottom="567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Bookman Old Style">
    <w:charset w:val="01"/>
    <w:family w:val="roman"/>
    <w:pitch w:val="variable"/>
  </w:font>
  <w:font w:name="Arial">
    <w:charset w:val="01"/>
    <w:family w:val="roman"/>
    <w:pitch w:val="variable"/>
  </w:font>
  <w:font w:name="AdverGothic">
    <w:charset w:val="01"/>
    <w:family w:val="roman"/>
    <w:pitch w:val="variable"/>
  </w:font>
  <w:font w:name="Tahoma">
    <w:charset w:val="01"/>
    <w:family w:val="roman"/>
    <w:pitch w:val="variable"/>
  </w:font>
  <w:font w:name="Verdana">
    <w:charset w:val="01"/>
    <w:family w:val="roman"/>
    <w:pitch w:val="variable"/>
  </w:font>
  <w:font w:name="Wingdings">
    <w:charset w:val="02"/>
    <w:family w:val="auto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Style25"/>
        <w:rPr/>
      </w:pPr>
      <w:r>
        <w:rPr>
          <w:rStyle w:val="Style13"/>
        </w:rPr>
        <w:footnoteRef/>
      </w:r>
      <w:r>
        <w:rPr/>
        <w:t xml:space="preserve"> </w:t>
      </w:r>
      <w:r>
        <w:rPr/>
        <w:t>Максимальная сумма кредита не более 20 (двадцати миллионов) рублей (с учетом общей долговой нагрузки по действующим кредитам и гарантиям клиента и/или группы взаимосвязанных клиентов в ПАО КБ «Центр-инвест»).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false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2">
    <w:lvl w:ilvl="0">
      <w:start w:val="1"/>
      <w:numFmt w:val="bullet"/>
      <w:lvlText w:val=""/>
      <w:lvlJc w:val="left"/>
      <w:pPr>
        <w:tabs>
          <w:tab w:val="num" w:pos="927"/>
        </w:tabs>
        <w:ind w:left="907" w:hanging="340"/>
      </w:pPr>
      <w:rPr>
        <w:rFonts w:ascii="Wingdings" w:hAnsi="Wingdings" w:cs="Wingdings" w:hint="default"/>
        <w:i w:val="false"/>
        <w:b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"/>
      <w:lvlJc w:val="left"/>
      <w:pPr>
        <w:tabs>
          <w:tab w:val="num" w:pos="927"/>
        </w:tabs>
        <w:ind w:left="907" w:hanging="340"/>
      </w:pPr>
      <w:rPr>
        <w:rFonts w:ascii="Wingdings" w:hAnsi="Wingdings" w:cs="Wingdings" w:hint="default"/>
        <w:i w:val="false"/>
        <w:b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bullet"/>
      <w:lvlText w:val=""/>
      <w:lvlJc w:val="left"/>
      <w:pPr>
        <w:tabs>
          <w:tab w:val="num" w:pos="927"/>
        </w:tabs>
        <w:ind w:left="907" w:hanging="340"/>
      </w:pPr>
      <w:rPr>
        <w:rFonts w:ascii="Wingdings" w:hAnsi="Wingdings" w:cs="Wingdings" w:hint="default"/>
        <w:i w:val="false"/>
        <w:b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bullet"/>
      <w:lvlText w:val=""/>
      <w:lvlJc w:val="left"/>
      <w:pPr>
        <w:tabs>
          <w:tab w:val="num" w:pos="927"/>
        </w:tabs>
        <w:ind w:left="907" w:hanging="340"/>
      </w:pPr>
      <w:rPr>
        <w:rFonts w:ascii="Wingdings" w:hAnsi="Wingdings" w:cs="Wingdings" w:hint="default"/>
        <w:i w:val="false"/>
        <w:b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bullet"/>
      <w:lvlText w:val=""/>
      <w:lvlJc w:val="left"/>
      <w:pPr>
        <w:tabs>
          <w:tab w:val="num" w:pos="927"/>
        </w:tabs>
        <w:ind w:left="907" w:hanging="340"/>
      </w:pPr>
      <w:rPr>
        <w:rFonts w:ascii="Wingdings" w:hAnsi="Wingdings" w:cs="Wingdings" w:hint="default"/>
        <w:i w:val="false"/>
        <w:b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bullet"/>
      <w:lvlText w:val=""/>
      <w:lvlJc w:val="left"/>
      <w:pPr>
        <w:tabs>
          <w:tab w:val="num" w:pos="927"/>
        </w:tabs>
        <w:ind w:left="907" w:hanging="340"/>
      </w:pPr>
      <w:rPr>
        <w:rFonts w:ascii="Wingdings" w:hAnsi="Wingdings" w:cs="Wingdings" w:hint="default"/>
        <w:i w:val="false"/>
        <w:b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0"/>
        </w:tabs>
        <w:ind w:left="107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37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trackRevisions/>
  <w:embedSystemFonts/>
  <w:defaultTabStop w:val="720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a3d01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next w:val="Normal"/>
    <w:qFormat/>
    <w:rsid w:val="00ca3d01"/>
    <w:pPr>
      <w:keepNext w:val="true"/>
      <w:jc w:val="center"/>
      <w:outlineLvl w:val="0"/>
    </w:pPr>
    <w:rPr>
      <w:b/>
      <w:sz w:val="24"/>
    </w:rPr>
  </w:style>
  <w:style w:type="paragraph" w:styleId="2">
    <w:name w:val="Heading 2"/>
    <w:basedOn w:val="Normal"/>
    <w:next w:val="Normal"/>
    <w:qFormat/>
    <w:rsid w:val="00ca3d01"/>
    <w:pPr>
      <w:keepNext w:val="true"/>
      <w:jc w:val="center"/>
      <w:outlineLvl w:val="1"/>
    </w:pPr>
    <w:rPr>
      <w:sz w:val="24"/>
    </w:rPr>
  </w:style>
  <w:style w:type="paragraph" w:styleId="3">
    <w:name w:val="Heading 3"/>
    <w:basedOn w:val="Normal"/>
    <w:next w:val="Normal"/>
    <w:qFormat/>
    <w:rsid w:val="00ca3d01"/>
    <w:pPr>
      <w:keepNext w:val="true"/>
      <w:ind w:left="1800" w:hanging="1800"/>
      <w:jc w:val="both"/>
      <w:outlineLvl w:val="2"/>
    </w:pPr>
    <w:rPr>
      <w:b/>
      <w:lang w:val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>
    <w:name w:val="Интернет-ссылка"/>
    <w:basedOn w:val="DefaultParagraphFont"/>
    <w:rsid w:val="00ca3d01"/>
    <w:rPr>
      <w:color w:val="0000FF"/>
      <w:u w:val="single"/>
    </w:rPr>
  </w:style>
  <w:style w:type="character" w:styleId="Annotationreference">
    <w:name w:val="annotation reference"/>
    <w:basedOn w:val="DefaultParagraphFont"/>
    <w:semiHidden/>
    <w:qFormat/>
    <w:rsid w:val="003e4264"/>
    <w:rPr>
      <w:sz w:val="16"/>
      <w:szCs w:val="16"/>
    </w:rPr>
  </w:style>
  <w:style w:type="character" w:styleId="Style12" w:customStyle="1">
    <w:name w:val="Текст сноски Знак"/>
    <w:basedOn w:val="DefaultParagraphFont"/>
    <w:semiHidden/>
    <w:qFormat/>
    <w:rsid w:val="00c84d7f"/>
    <w:rPr/>
  </w:style>
  <w:style w:type="character" w:styleId="Style13">
    <w:name w:val="Символ сноски"/>
    <w:basedOn w:val="DefaultParagraphFont"/>
    <w:semiHidden/>
    <w:unhideWhenUsed/>
    <w:qFormat/>
    <w:rsid w:val="00c84d7f"/>
    <w:rPr>
      <w:vertAlign w:val="superscript"/>
    </w:rPr>
  </w:style>
  <w:style w:type="character" w:styleId="Style14">
    <w:name w:val="Привязка сноски"/>
    <w:rPr>
      <w:vertAlign w:val="superscript"/>
    </w:rPr>
  </w:style>
  <w:style w:type="character" w:styleId="Style15">
    <w:name w:val="Нумерация строк"/>
    <w:rPr/>
  </w:style>
  <w:style w:type="character" w:styleId="Style16">
    <w:name w:val="Привязка концевой сноски"/>
    <w:rPr>
      <w:vertAlign w:val="superscript"/>
    </w:rPr>
  </w:style>
  <w:style w:type="character" w:styleId="Style17">
    <w:name w:val="Символ концевой сноски"/>
    <w:qFormat/>
    <w:rPr/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9">
    <w:name w:val="Body Text"/>
    <w:basedOn w:val="Normal"/>
    <w:rsid w:val="00ca3d01"/>
    <w:pPr>
      <w:numPr>
        <w:ilvl w:val="8"/>
        <w:numId w:val="2"/>
      </w:numPr>
      <w:jc w:val="center"/>
    </w:pPr>
    <w:rPr>
      <w:rFonts w:ascii="Bookman Old Style" w:hAnsi="Bookman Old Style"/>
      <w:b/>
      <w:sz w:val="24"/>
    </w:rPr>
  </w:style>
  <w:style w:type="paragraph" w:styleId="Style20">
    <w:name w:val="List"/>
    <w:basedOn w:val="Style19"/>
    <w:pPr/>
    <w:rPr>
      <w:rFonts w:cs="Lohit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ohit Devanagari"/>
    </w:rPr>
  </w:style>
  <w:style w:type="paragraph" w:styleId="Caaieiaie1" w:customStyle="1">
    <w:name w:val="caaieiaie 1"/>
    <w:basedOn w:val="Normal"/>
    <w:next w:val="Normal"/>
    <w:qFormat/>
    <w:rsid w:val="00ca3d01"/>
    <w:pPr>
      <w:widowControl w:val="false"/>
      <w:spacing w:before="240" w:after="0"/>
      <w:jc w:val="center"/>
    </w:pPr>
    <w:rPr>
      <w:rFonts w:ascii="Arial" w:hAnsi="Arial"/>
      <w:b/>
      <w:sz w:val="22"/>
    </w:rPr>
  </w:style>
  <w:style w:type="paragraph" w:styleId="Caaieiaie2" w:customStyle="1">
    <w:name w:val="caaieiaie 2"/>
    <w:basedOn w:val="Normal"/>
    <w:next w:val="Normal"/>
    <w:qFormat/>
    <w:rsid w:val="00ca3d01"/>
    <w:pPr>
      <w:widowControl w:val="false"/>
      <w:spacing w:before="120" w:after="0"/>
      <w:jc w:val="center"/>
    </w:pPr>
    <w:rPr>
      <w:rFonts w:ascii="AdverGothic" w:hAnsi="AdverGothic"/>
      <w:b/>
      <w:sz w:val="40"/>
    </w:rPr>
  </w:style>
  <w:style w:type="paragraph" w:styleId="Aaan" w:customStyle="1">
    <w:name w:val="aa?an"/>
    <w:basedOn w:val="Normal"/>
    <w:qFormat/>
    <w:rsid w:val="00ca3d01"/>
    <w:pPr>
      <w:widowControl w:val="false"/>
      <w:pBdr>
        <w:bottom w:val="single" w:sz="18" w:space="1" w:color="000000"/>
      </w:pBdr>
      <w:jc w:val="center"/>
    </w:pPr>
    <w:rPr>
      <w:sz w:val="16"/>
    </w:rPr>
  </w:style>
  <w:style w:type="paragraph" w:styleId="11" w:customStyle="1">
    <w:name w:val="заголовок 1"/>
    <w:basedOn w:val="Normal"/>
    <w:next w:val="Normal"/>
    <w:qFormat/>
    <w:rsid w:val="00ca3d01"/>
    <w:pPr>
      <w:widowControl w:val="false"/>
      <w:spacing w:before="240" w:after="0"/>
      <w:jc w:val="center"/>
    </w:pPr>
    <w:rPr>
      <w:rFonts w:ascii="Arial" w:hAnsi="Arial"/>
      <w:b/>
      <w:sz w:val="22"/>
    </w:rPr>
  </w:style>
  <w:style w:type="paragraph" w:styleId="21" w:customStyle="1">
    <w:name w:val="заголовок 2"/>
    <w:basedOn w:val="Normal"/>
    <w:next w:val="Normal"/>
    <w:qFormat/>
    <w:rsid w:val="00ca3d01"/>
    <w:pPr>
      <w:widowControl w:val="false"/>
      <w:spacing w:before="120" w:after="0"/>
      <w:jc w:val="center"/>
    </w:pPr>
    <w:rPr>
      <w:rFonts w:ascii="AdverGothic" w:hAnsi="AdverGothic"/>
      <w:b/>
      <w:sz w:val="40"/>
    </w:rPr>
  </w:style>
  <w:style w:type="paragraph" w:styleId="Style23" w:customStyle="1">
    <w:name w:val="адрес"/>
    <w:basedOn w:val="Normal"/>
    <w:qFormat/>
    <w:rsid w:val="00ca3d01"/>
    <w:pPr>
      <w:widowControl w:val="false"/>
      <w:pBdr>
        <w:bottom w:val="single" w:sz="18" w:space="1" w:color="000000"/>
      </w:pBdr>
      <w:jc w:val="center"/>
    </w:pPr>
    <w:rPr>
      <w:sz w:val="16"/>
    </w:rPr>
  </w:style>
  <w:style w:type="paragraph" w:styleId="BodyText2">
    <w:name w:val="Body Text 2"/>
    <w:basedOn w:val="Normal"/>
    <w:qFormat/>
    <w:rsid w:val="00ca3d01"/>
    <w:pPr>
      <w:numPr>
        <w:ilvl w:val="8"/>
        <w:numId w:val="2"/>
      </w:numPr>
      <w:jc w:val="both"/>
    </w:pPr>
    <w:rPr>
      <w:sz w:val="24"/>
    </w:rPr>
  </w:style>
  <w:style w:type="paragraph" w:styleId="Style24">
    <w:name w:val="Body Text Indent"/>
    <w:basedOn w:val="Normal"/>
    <w:rsid w:val="00f67bfa"/>
    <w:pPr>
      <w:spacing w:before="0" w:after="120"/>
      <w:ind w:left="283" w:hanging="0"/>
    </w:pPr>
    <w:rPr/>
  </w:style>
  <w:style w:type="paragraph" w:styleId="Annotationtext">
    <w:name w:val="annotation text"/>
    <w:basedOn w:val="Normal"/>
    <w:semiHidden/>
    <w:qFormat/>
    <w:rsid w:val="003e4264"/>
    <w:pPr/>
    <w:rPr/>
  </w:style>
  <w:style w:type="paragraph" w:styleId="Annotationsubject">
    <w:name w:val="annotation subject"/>
    <w:basedOn w:val="Annotationtext"/>
    <w:next w:val="Annotationtext"/>
    <w:semiHidden/>
    <w:qFormat/>
    <w:rsid w:val="003e4264"/>
    <w:pPr/>
    <w:rPr>
      <w:b/>
      <w:bCs/>
    </w:rPr>
  </w:style>
  <w:style w:type="paragraph" w:styleId="BalloonText">
    <w:name w:val="Balloon Text"/>
    <w:basedOn w:val="Normal"/>
    <w:semiHidden/>
    <w:qFormat/>
    <w:rsid w:val="003e4264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6194"/>
    <w:pPr>
      <w:spacing w:before="0" w:after="0"/>
      <w:ind w:left="720" w:hanging="0"/>
      <w:contextualSpacing/>
    </w:pPr>
    <w:rPr/>
  </w:style>
  <w:style w:type="paragraph" w:styleId="Style25">
    <w:name w:val="Footnote Text"/>
    <w:basedOn w:val="Normal"/>
    <w:link w:val="Style12"/>
    <w:semiHidden/>
    <w:unhideWhenUsed/>
    <w:rsid w:val="00c84d7f"/>
    <w:pPr/>
    <w:rPr/>
  </w:style>
  <w:style w:type="paragraph" w:styleId="Revision">
    <w:name w:val="Revision"/>
    <w:uiPriority w:val="99"/>
    <w:semiHidden/>
    <w:qFormat/>
    <w:rsid w:val="009f6add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26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rsid w:val="005e65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261066-DB9B-47D8-A55D-D3A4548A2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LibreOffice/7.3.7.2$Linux_X86_64 LibreOffice_project/30$Build-2</Application>
  <AppVersion>15.0000</AppVersion>
  <Pages>2</Pages>
  <Words>840</Words>
  <Characters>5966</Characters>
  <CharactersWithSpaces>6740</CharactersWithSpaces>
  <Paragraphs>72</Paragraphs>
  <Company>CIB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2025-01-21T12:04:00Z</dcterms:created>
  <dc:creator>Тучков А.В.</dc:creator>
  <dc:description/>
  <dc:language>ru-RU</dc:language>
  <cp:lastModifiedBy/>
  <cp:lastPrinted>2017-07-05T13:46:00Z</cp:lastPrinted>
  <dcterms:modified xsi:type="dcterms:W3CDTF">2025-02-11T14:21:51Z</dcterms:modified>
  <cp:revision>4</cp:revision>
  <dc:subject/>
  <dc:title>Открытое акционерное общество коммерческий банк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